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C76EC" w14:textId="77777777" w:rsidR="005507F6" w:rsidRPr="001F003E" w:rsidRDefault="005507F6" w:rsidP="005507F6">
      <w:pPr>
        <w:jc w:val="center"/>
        <w:rPr>
          <w:rFonts w:ascii="Times New Roman" w:hAnsi="Times New Roman" w:cs="Times New Roman"/>
        </w:rPr>
      </w:pPr>
    </w:p>
    <w:p w14:paraId="79CCFDE6" w14:textId="77777777" w:rsidR="005507F6" w:rsidRPr="001F003E" w:rsidRDefault="005507F6" w:rsidP="005507F6">
      <w:pPr>
        <w:jc w:val="center"/>
        <w:rPr>
          <w:rFonts w:ascii="Times New Roman" w:hAnsi="Times New Roman" w:cs="Times New Roman"/>
        </w:rPr>
      </w:pPr>
    </w:p>
    <w:p w14:paraId="41CDEFCF" w14:textId="77777777" w:rsidR="005507F6" w:rsidRPr="001F003E" w:rsidRDefault="005507F6" w:rsidP="005507F6">
      <w:pPr>
        <w:jc w:val="center"/>
        <w:rPr>
          <w:rFonts w:ascii="Times New Roman" w:hAnsi="Times New Roman" w:cs="Times New Roman"/>
        </w:rPr>
      </w:pPr>
    </w:p>
    <w:p w14:paraId="01BAA121" w14:textId="77777777" w:rsidR="005507F6" w:rsidRPr="001F003E" w:rsidRDefault="005507F6" w:rsidP="005507F6">
      <w:pPr>
        <w:jc w:val="center"/>
        <w:rPr>
          <w:rFonts w:ascii="Times New Roman" w:hAnsi="Times New Roman" w:cs="Times New Roman"/>
        </w:rPr>
      </w:pPr>
    </w:p>
    <w:p w14:paraId="51656CAC" w14:textId="77777777" w:rsidR="005507F6" w:rsidRPr="001F003E" w:rsidRDefault="005507F6" w:rsidP="005507F6">
      <w:pPr>
        <w:jc w:val="center"/>
        <w:rPr>
          <w:rFonts w:ascii="Times New Roman" w:hAnsi="Times New Roman" w:cs="Times New Roman"/>
        </w:rPr>
      </w:pPr>
    </w:p>
    <w:p w14:paraId="1355D5C6" w14:textId="77777777" w:rsidR="005507F6" w:rsidRPr="001F003E" w:rsidRDefault="005507F6" w:rsidP="005507F6">
      <w:pPr>
        <w:jc w:val="center"/>
        <w:rPr>
          <w:rFonts w:ascii="Times New Roman" w:hAnsi="Times New Roman" w:cs="Times New Roman"/>
        </w:rPr>
      </w:pPr>
    </w:p>
    <w:p w14:paraId="3B4BA6F0" w14:textId="77777777" w:rsidR="005507F6" w:rsidRPr="001F003E" w:rsidRDefault="005507F6" w:rsidP="005507F6">
      <w:pPr>
        <w:jc w:val="center"/>
        <w:rPr>
          <w:rFonts w:ascii="Times New Roman" w:hAnsi="Times New Roman" w:cs="Times New Roman"/>
        </w:rPr>
      </w:pPr>
    </w:p>
    <w:p w14:paraId="7A397E70" w14:textId="77777777" w:rsidR="005507F6" w:rsidRPr="001F003E" w:rsidRDefault="005507F6" w:rsidP="005507F6">
      <w:pPr>
        <w:jc w:val="center"/>
        <w:rPr>
          <w:rFonts w:ascii="Times New Roman" w:hAnsi="Times New Roman" w:cs="Times New Roman"/>
        </w:rPr>
      </w:pPr>
    </w:p>
    <w:p w14:paraId="21E9F6F1" w14:textId="60500E17" w:rsidR="00E348F3" w:rsidRPr="001F003E" w:rsidRDefault="009F0ABE" w:rsidP="005507F6">
      <w:pPr>
        <w:jc w:val="center"/>
        <w:rPr>
          <w:rFonts w:ascii="Times New Roman" w:hAnsi="Times New Roman" w:cs="Times New Roman"/>
          <w:b/>
          <w:bCs/>
        </w:rPr>
      </w:pPr>
      <w:r w:rsidRPr="001F003E">
        <w:rPr>
          <w:rFonts w:ascii="Times New Roman" w:hAnsi="Times New Roman" w:cs="Times New Roman"/>
          <w:b/>
          <w:bCs/>
        </w:rPr>
        <w:t>Appendix E Discharge Dispute Process</w:t>
      </w:r>
    </w:p>
    <w:p w14:paraId="3D2C443F" w14:textId="77777777" w:rsidR="009F0ABE" w:rsidRPr="001F003E" w:rsidRDefault="009F0ABE" w:rsidP="005507F6">
      <w:pPr>
        <w:jc w:val="center"/>
        <w:rPr>
          <w:rFonts w:ascii="Times New Roman" w:hAnsi="Times New Roman" w:cs="Times New Roman"/>
          <w:b/>
          <w:bCs/>
          <w:color w:val="222222"/>
        </w:rPr>
      </w:pPr>
      <w:bookmarkStart w:id="0" w:name="_Toc187999132"/>
      <w:r w:rsidRPr="001F003E">
        <w:rPr>
          <w:rFonts w:ascii="Times New Roman" w:hAnsi="Times New Roman" w:cs="Times New Roman"/>
          <w:b/>
          <w:bCs/>
        </w:rPr>
        <w:t>Discharge Readiness Dispute Process for State Hospitals, CSBs, and DBHDS Central Office</w:t>
      </w:r>
      <w:bookmarkEnd w:id="0"/>
    </w:p>
    <w:tbl>
      <w:tblPr>
        <w:tblStyle w:val="TableGrid"/>
        <w:tblW w:w="9904" w:type="dxa"/>
        <w:tblLook w:val="04A0" w:firstRow="1" w:lastRow="0" w:firstColumn="1" w:lastColumn="0" w:noHBand="0" w:noVBand="1"/>
      </w:tblPr>
      <w:tblGrid>
        <w:gridCol w:w="9904"/>
      </w:tblGrid>
      <w:tr w:rsidR="009F0ABE" w:rsidRPr="001F003E" w14:paraId="281DBAAD" w14:textId="77777777" w:rsidTr="009F0ABE">
        <w:trPr>
          <w:trHeight w:val="10843"/>
        </w:trPr>
        <w:tc>
          <w:tcPr>
            <w:tcW w:w="9904" w:type="dxa"/>
          </w:tcPr>
          <w:p w14:paraId="3FD6B28E" w14:textId="77777777" w:rsidR="009F0ABE" w:rsidRPr="001F003E" w:rsidRDefault="009F0ABE" w:rsidP="009F0ABE">
            <w:pPr>
              <w:pStyle w:val="NormalWeb"/>
              <w:shd w:val="clear" w:color="auto" w:fill="FFFFFF"/>
              <w:spacing w:before="0" w:beforeAutospacing="0" w:after="0" w:afterAutospacing="0"/>
              <w:ind w:left="460"/>
              <w:rPr>
                <w:color w:val="222222"/>
                <w:sz w:val="22"/>
                <w:szCs w:val="22"/>
              </w:rPr>
            </w:pPr>
          </w:p>
          <w:p w14:paraId="789A380F" w14:textId="75A11605" w:rsidR="009F0ABE" w:rsidRPr="001F003E" w:rsidRDefault="009F0ABE" w:rsidP="009F0ABE">
            <w:pPr>
              <w:pStyle w:val="NormalWeb"/>
              <w:numPr>
                <w:ilvl w:val="0"/>
                <w:numId w:val="1"/>
              </w:numPr>
              <w:shd w:val="clear" w:color="auto" w:fill="FFFFFF"/>
              <w:spacing w:before="0" w:beforeAutospacing="0" w:after="0" w:afterAutospacing="0"/>
              <w:rPr>
                <w:color w:val="222222"/>
                <w:sz w:val="22"/>
                <w:szCs w:val="22"/>
              </w:rPr>
            </w:pPr>
            <w:r w:rsidRPr="001F003E">
              <w:rPr>
                <w:iCs/>
                <w:color w:val="222222"/>
                <w:sz w:val="22"/>
                <w:szCs w:val="22"/>
              </w:rPr>
              <w:t>The CSB shall notify the state hospital social work director (or designee), in writing, of their disagreement with the treatment team’s designation of the individual’s clinical readiness for discharge within three calendar days (72 hours) of receiving the discharge readiness notification.</w:t>
            </w:r>
          </w:p>
          <w:p w14:paraId="34D6A45D" w14:textId="77777777" w:rsidR="009F0ABE" w:rsidRPr="001F003E" w:rsidRDefault="009F0ABE" w:rsidP="009F0ABE">
            <w:pPr>
              <w:pStyle w:val="NormalWeb"/>
              <w:shd w:val="clear" w:color="auto" w:fill="FFFFFF"/>
              <w:spacing w:before="0" w:beforeAutospacing="0" w:after="0" w:afterAutospacing="0"/>
              <w:ind w:left="460"/>
              <w:rPr>
                <w:color w:val="222222"/>
                <w:sz w:val="22"/>
                <w:szCs w:val="22"/>
              </w:rPr>
            </w:pPr>
          </w:p>
          <w:p w14:paraId="4F659747" w14:textId="687FA512" w:rsidR="009F0ABE" w:rsidRPr="001F003E" w:rsidRDefault="009F0ABE" w:rsidP="009F0ABE">
            <w:pPr>
              <w:pStyle w:val="NormalWeb"/>
              <w:numPr>
                <w:ilvl w:val="0"/>
                <w:numId w:val="1"/>
              </w:numPr>
              <w:shd w:val="clear" w:color="auto" w:fill="FFFFFF"/>
              <w:spacing w:before="0" w:beforeAutospacing="0" w:after="0" w:afterAutospacing="0"/>
              <w:rPr>
                <w:color w:val="222222"/>
                <w:sz w:val="22"/>
                <w:szCs w:val="22"/>
              </w:rPr>
            </w:pPr>
            <w:r w:rsidRPr="001F003E">
              <w:rPr>
                <w:iCs/>
                <w:color w:val="222222"/>
                <w:sz w:val="22"/>
                <w:szCs w:val="22"/>
              </w:rPr>
              <w:t xml:space="preserve">The state hospital social work director (or designee) shall initiate a resolution effort to include a meeting with the state hospital and CSB staff at a higher level than the treatment team (including notification to the CSB executive director and state hospital director), as well as a representative from the Central Office </w:t>
            </w:r>
            <w:r w:rsidR="007B1774" w:rsidRPr="001F003E">
              <w:rPr>
                <w:iCs/>
                <w:color w:val="222222"/>
                <w:sz w:val="22"/>
                <w:szCs w:val="22"/>
              </w:rPr>
              <w:t>Patient of Clinical Services</w:t>
            </w:r>
            <w:r w:rsidRPr="001F003E">
              <w:rPr>
                <w:iCs/>
                <w:color w:val="222222"/>
                <w:sz w:val="22"/>
                <w:szCs w:val="22"/>
              </w:rPr>
              <w:t>. This meeting shall occur within one business day of receipt of the CSB’s written disagreement.</w:t>
            </w:r>
          </w:p>
          <w:p w14:paraId="395142D6" w14:textId="77777777" w:rsidR="009F0ABE" w:rsidRPr="001F003E" w:rsidRDefault="009F0ABE" w:rsidP="009F0ABE">
            <w:pPr>
              <w:pStyle w:val="NormalWeb"/>
              <w:shd w:val="clear" w:color="auto" w:fill="FFFFFF"/>
              <w:spacing w:before="0" w:beforeAutospacing="0" w:after="0" w:afterAutospacing="0"/>
              <w:ind w:left="460"/>
              <w:rPr>
                <w:color w:val="222222"/>
                <w:sz w:val="22"/>
                <w:szCs w:val="22"/>
              </w:rPr>
            </w:pPr>
          </w:p>
          <w:p w14:paraId="07695424" w14:textId="104BB5F2" w:rsidR="009F0ABE" w:rsidRPr="001F003E" w:rsidRDefault="009F0ABE" w:rsidP="009F0ABE">
            <w:pPr>
              <w:pStyle w:val="NormalWeb"/>
              <w:numPr>
                <w:ilvl w:val="0"/>
                <w:numId w:val="1"/>
              </w:numPr>
              <w:shd w:val="clear" w:color="auto" w:fill="FFFFFF"/>
              <w:spacing w:before="0" w:beforeAutospacing="0" w:after="0" w:afterAutospacing="0"/>
              <w:rPr>
                <w:color w:val="222222"/>
                <w:sz w:val="22"/>
                <w:szCs w:val="22"/>
              </w:rPr>
            </w:pPr>
            <w:r w:rsidRPr="001F003E">
              <w:rPr>
                <w:iCs/>
                <w:color w:val="222222"/>
                <w:sz w:val="22"/>
                <w:szCs w:val="22"/>
              </w:rPr>
              <w:t xml:space="preserve">If the disagreement remains unresolved, the Central </w:t>
            </w:r>
            <w:r w:rsidR="00B05F41" w:rsidRPr="001F003E">
              <w:rPr>
                <w:iCs/>
                <w:color w:val="222222"/>
                <w:sz w:val="22"/>
                <w:szCs w:val="22"/>
              </w:rPr>
              <w:t xml:space="preserve">Office of Patient Clinical </w:t>
            </w:r>
            <w:r w:rsidR="007B1774" w:rsidRPr="001F003E">
              <w:rPr>
                <w:iCs/>
                <w:color w:val="222222"/>
                <w:sz w:val="22"/>
                <w:szCs w:val="22"/>
              </w:rPr>
              <w:t>Services will</w:t>
            </w:r>
            <w:r w:rsidRPr="001F003E">
              <w:rPr>
                <w:iCs/>
                <w:color w:val="222222"/>
                <w:sz w:val="22"/>
                <w:szCs w:val="22"/>
              </w:rPr>
              <w:t xml:space="preserve"> immediately give a recommendation regarding the patient’s discharge readiness to the DBHDS</w:t>
            </w:r>
            <w:r w:rsidR="007B1774" w:rsidRPr="001F003E">
              <w:rPr>
                <w:iCs/>
                <w:color w:val="222222"/>
                <w:sz w:val="22"/>
                <w:szCs w:val="22"/>
              </w:rPr>
              <w:t xml:space="preserve"> Deputy</w:t>
            </w:r>
            <w:r w:rsidRPr="001F003E">
              <w:rPr>
                <w:iCs/>
                <w:color w:val="222222"/>
                <w:sz w:val="22"/>
                <w:szCs w:val="22"/>
              </w:rPr>
              <w:t xml:space="preserve"> Commissioner</w:t>
            </w:r>
            <w:r w:rsidR="007B1774" w:rsidRPr="001F003E">
              <w:rPr>
                <w:iCs/>
                <w:color w:val="222222"/>
                <w:sz w:val="22"/>
                <w:szCs w:val="22"/>
              </w:rPr>
              <w:t xml:space="preserve"> or Designee</w:t>
            </w:r>
            <w:r w:rsidRPr="001F003E">
              <w:rPr>
                <w:iCs/>
                <w:color w:val="222222"/>
                <w:sz w:val="22"/>
                <w:szCs w:val="22"/>
              </w:rPr>
              <w:t xml:space="preserve">. The </w:t>
            </w:r>
            <w:r w:rsidR="007B1774" w:rsidRPr="001F003E">
              <w:rPr>
                <w:iCs/>
                <w:color w:val="222222"/>
                <w:sz w:val="22"/>
                <w:szCs w:val="22"/>
              </w:rPr>
              <w:t xml:space="preserve">Deputy </w:t>
            </w:r>
            <w:r w:rsidRPr="001F003E">
              <w:rPr>
                <w:iCs/>
                <w:color w:val="222222"/>
                <w:sz w:val="22"/>
                <w:szCs w:val="22"/>
              </w:rPr>
              <w:t>Commissioner</w:t>
            </w:r>
            <w:r w:rsidR="007B1774" w:rsidRPr="001F003E">
              <w:rPr>
                <w:iCs/>
                <w:color w:val="222222"/>
                <w:sz w:val="22"/>
                <w:szCs w:val="22"/>
              </w:rPr>
              <w:t xml:space="preserve"> or designee </w:t>
            </w:r>
            <w:r w:rsidRPr="001F003E">
              <w:rPr>
                <w:iCs/>
                <w:color w:val="222222"/>
                <w:sz w:val="22"/>
                <w:szCs w:val="22"/>
              </w:rPr>
              <w:t>shall provide written notice of their decision regarding discharge to the CSB executive director and state hospital director.</w:t>
            </w:r>
          </w:p>
          <w:p w14:paraId="57CC9EF6" w14:textId="77777777" w:rsidR="009F0ABE" w:rsidRPr="001F003E" w:rsidRDefault="009F0ABE" w:rsidP="009F0ABE">
            <w:pPr>
              <w:pStyle w:val="NormalWeb"/>
              <w:shd w:val="clear" w:color="auto" w:fill="FFFFFF"/>
              <w:spacing w:before="0" w:beforeAutospacing="0" w:after="0" w:afterAutospacing="0"/>
              <w:ind w:left="460"/>
              <w:rPr>
                <w:color w:val="222222"/>
                <w:sz w:val="22"/>
                <w:szCs w:val="22"/>
              </w:rPr>
            </w:pPr>
          </w:p>
          <w:p w14:paraId="6ECD9848" w14:textId="77777777" w:rsidR="009F0ABE" w:rsidRPr="001F003E" w:rsidRDefault="009F0ABE" w:rsidP="009F0ABE">
            <w:pPr>
              <w:pStyle w:val="NormalWeb"/>
              <w:numPr>
                <w:ilvl w:val="0"/>
                <w:numId w:val="1"/>
              </w:numPr>
              <w:shd w:val="clear" w:color="auto" w:fill="FFFFFF"/>
              <w:spacing w:before="0" w:beforeAutospacing="0" w:after="0" w:afterAutospacing="0"/>
              <w:rPr>
                <w:color w:val="222222"/>
                <w:sz w:val="22"/>
                <w:szCs w:val="22"/>
              </w:rPr>
            </w:pPr>
            <w:r w:rsidRPr="001F003E">
              <w:rPr>
                <w:iCs/>
                <w:color w:val="222222"/>
                <w:sz w:val="22"/>
                <w:szCs w:val="22"/>
              </w:rPr>
              <w:t>During the dispute process outlined above, the CSB shall formulate a discharge plan that can be implemented within three business days if the decision is in support of clinical readiness for discharge.</w:t>
            </w:r>
          </w:p>
          <w:p w14:paraId="3EBEF5E2" w14:textId="77777777" w:rsidR="009F0ABE" w:rsidRPr="001F003E" w:rsidRDefault="009F0ABE" w:rsidP="009F0ABE">
            <w:pPr>
              <w:pStyle w:val="NormalWeb"/>
              <w:shd w:val="clear" w:color="auto" w:fill="FFFFFF"/>
              <w:spacing w:before="0" w:beforeAutospacing="0" w:after="0" w:afterAutospacing="0"/>
              <w:ind w:left="460"/>
              <w:rPr>
                <w:color w:val="222222"/>
                <w:sz w:val="22"/>
                <w:szCs w:val="22"/>
              </w:rPr>
            </w:pPr>
          </w:p>
          <w:p w14:paraId="6057ECA1" w14:textId="77777777" w:rsidR="009F0ABE" w:rsidRPr="001F003E" w:rsidRDefault="009F0ABE" w:rsidP="009F0ABE">
            <w:pPr>
              <w:pStyle w:val="NormalWeb"/>
              <w:numPr>
                <w:ilvl w:val="0"/>
                <w:numId w:val="1"/>
              </w:numPr>
              <w:shd w:val="clear" w:color="auto" w:fill="FFFFFF"/>
              <w:spacing w:before="0" w:beforeAutospacing="0" w:after="160" w:afterAutospacing="0"/>
              <w:rPr>
                <w:sz w:val="22"/>
                <w:szCs w:val="22"/>
              </w:rPr>
            </w:pPr>
            <w:r w:rsidRPr="001F003E">
              <w:rPr>
                <w:iCs/>
                <w:color w:val="222222"/>
                <w:sz w:val="22"/>
                <w:szCs w:val="22"/>
              </w:rPr>
              <w:t xml:space="preserve">Should the Commissioner determine that the individual is clinically ready for discharge and the CSB has not developed a discharge plan to implement immediately, then the discharge plan shall be developed by the Department and the Commissioner may </w:t>
            </w:r>
            <w:proofErr w:type="gramStart"/>
            <w:r w:rsidRPr="001F003E">
              <w:rPr>
                <w:iCs/>
                <w:color w:val="222222"/>
                <w:sz w:val="22"/>
                <w:szCs w:val="22"/>
              </w:rPr>
              <w:t>take action</w:t>
            </w:r>
            <w:proofErr w:type="gramEnd"/>
            <w:r w:rsidRPr="001F003E">
              <w:rPr>
                <w:iCs/>
                <w:color w:val="222222"/>
                <w:sz w:val="22"/>
                <w:szCs w:val="22"/>
              </w:rPr>
              <w:t xml:space="preserve"> in accordance with Virginia Code § 37.2-505(A)(3).</w:t>
            </w:r>
          </w:p>
        </w:tc>
      </w:tr>
    </w:tbl>
    <w:p w14:paraId="26730CF8" w14:textId="77777777" w:rsidR="009F0ABE" w:rsidRPr="001F003E" w:rsidRDefault="009F0ABE" w:rsidP="005507F6">
      <w:pPr>
        <w:rPr>
          <w:rFonts w:ascii="Times New Roman" w:hAnsi="Times New Roman" w:cs="Times New Roman"/>
        </w:rPr>
      </w:pPr>
    </w:p>
    <w:sectPr w:rsidR="009F0ABE" w:rsidRPr="001F003E" w:rsidSect="005507F6">
      <w:headerReference w:type="even" r:id="rId10"/>
      <w:headerReference w:type="default" r:id="rId11"/>
      <w:footerReference w:type="even" r:id="rId12"/>
      <w:footerReference w:type="default" r:id="rId13"/>
      <w:headerReference w:type="first" r:id="rId14"/>
      <w:footerReference w:type="first" r:id="rId15"/>
      <w:pgSz w:w="12240" w:h="15840"/>
      <w:pgMar w:top="63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CDC27" w14:textId="77777777" w:rsidR="002E17D9" w:rsidRDefault="002E17D9" w:rsidP="009F205D">
      <w:pPr>
        <w:spacing w:after="0" w:line="240" w:lineRule="auto"/>
      </w:pPr>
      <w:r>
        <w:separator/>
      </w:r>
    </w:p>
  </w:endnote>
  <w:endnote w:type="continuationSeparator" w:id="0">
    <w:p w14:paraId="414E8034" w14:textId="77777777" w:rsidR="002E17D9" w:rsidRDefault="002E17D9" w:rsidP="009F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E7F2" w14:textId="77777777" w:rsidR="001F003E" w:rsidRDefault="001F0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D86D" w14:textId="77777777" w:rsidR="001F003E" w:rsidRDefault="001F0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1D5F7" w14:textId="77777777" w:rsidR="001F003E" w:rsidRDefault="001F0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35C2E" w14:textId="77777777" w:rsidR="002E17D9" w:rsidRDefault="002E17D9" w:rsidP="009F205D">
      <w:pPr>
        <w:spacing w:after="0" w:line="240" w:lineRule="auto"/>
      </w:pPr>
      <w:r>
        <w:separator/>
      </w:r>
    </w:p>
  </w:footnote>
  <w:footnote w:type="continuationSeparator" w:id="0">
    <w:p w14:paraId="3183C4D9" w14:textId="77777777" w:rsidR="002E17D9" w:rsidRDefault="002E17D9" w:rsidP="009F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2FF7" w14:textId="03F409CA" w:rsidR="001F003E" w:rsidRDefault="00AD41DE">
    <w:pPr>
      <w:pStyle w:val="Header"/>
    </w:pPr>
    <w:r>
      <w:rPr>
        <w:noProof/>
      </w:rPr>
      <w:pict w14:anchorId="2F8B0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7579" o:spid="_x0000_s1026" type="#_x0000_t136" style="position:absolute;margin-left:0;margin-top:0;width:412.4pt;height:247.45pt;rotation:315;z-index:-251655168;mso-position-horizontal:center;mso-position-horizontal-relative:margin;mso-position-vertical:center;mso-position-vertical-relative:margin" o:allowincell="f" fillcolor="#2f5496 [2404]"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8480" w14:textId="098E76FF" w:rsidR="005507F6" w:rsidRPr="001F003E" w:rsidRDefault="00AD41DE" w:rsidP="005507F6">
    <w:pPr>
      <w:jc w:val="center"/>
      <w:rPr>
        <w:rFonts w:ascii="Times New Roman" w:hAnsi="Times New Roman" w:cs="Times New Roman"/>
        <w:b/>
        <w:bCs/>
      </w:rPr>
    </w:pPr>
    <w:bookmarkStart w:id="1" w:name="_Hlk199749356"/>
    <w:bookmarkStart w:id="2" w:name="_Hlk199749678"/>
    <w:r>
      <w:rPr>
        <w:noProof/>
      </w:rPr>
      <w:pict w14:anchorId="2B58D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7580" o:spid="_x0000_s1027" type="#_x0000_t136" style="position:absolute;left:0;text-align:left;margin-left:0;margin-top:0;width:412.4pt;height:247.45pt;rotation:315;z-index:-251653120;mso-position-horizontal:center;mso-position-horizontal-relative:margin;mso-position-vertical:center;mso-position-vertical-relative:margin" o:allowincell="f" fillcolor="#2f5496 [2404]" stroked="f">
          <v:fill opacity=".5"/>
          <v:textpath style="font-family:&quot;Calibri&quot;;font-size:1pt" string="DRAFT"/>
        </v:shape>
      </w:pict>
    </w:r>
    <w:r w:rsidR="005507F6" w:rsidRPr="001F003E">
      <w:rPr>
        <w:rFonts w:ascii="Times New Roman" w:hAnsi="Times New Roman" w:cs="Times New Roman"/>
        <w:b/>
        <w:bCs/>
      </w:rPr>
      <w:t>AMENDMENT 3</w:t>
    </w:r>
  </w:p>
  <w:p w14:paraId="35E4EBEE" w14:textId="57919138" w:rsidR="005507F6" w:rsidRPr="001F003E" w:rsidRDefault="005507F6" w:rsidP="005507F6">
    <w:pPr>
      <w:jc w:val="center"/>
      <w:rPr>
        <w:rFonts w:ascii="Times New Roman" w:hAnsi="Times New Roman" w:cs="Times New Roman"/>
        <w:b/>
        <w:bCs/>
      </w:rPr>
    </w:pPr>
    <w:r w:rsidRPr="001F003E">
      <w:rPr>
        <w:rFonts w:ascii="Times New Roman" w:hAnsi="Times New Roman" w:cs="Times New Roman"/>
        <w:b/>
        <w:bCs/>
      </w:rPr>
      <w:t>AMENDED AND RESTATED</w:t>
    </w:r>
  </w:p>
  <w:p w14:paraId="2A3BE39A" w14:textId="067D008B" w:rsidR="005507F6" w:rsidRPr="001F003E" w:rsidRDefault="005507F6" w:rsidP="005507F6">
    <w:pPr>
      <w:jc w:val="center"/>
      <w:rPr>
        <w:rFonts w:ascii="Times New Roman" w:hAnsi="Times New Roman" w:cs="Times New Roman"/>
        <w:b/>
        <w:bCs/>
      </w:rPr>
    </w:pPr>
    <w:r w:rsidRPr="001F003E">
      <w:rPr>
        <w:rFonts w:ascii="Times New Roman" w:hAnsi="Times New Roman" w:cs="Times New Roman"/>
        <w:b/>
        <w:bCs/>
      </w:rPr>
      <w:t>FY2026 AND FY2027 COMMUNITY SERVICES PERFORMANCE CONTRACT</w:t>
    </w:r>
  </w:p>
  <w:p w14:paraId="583FA458" w14:textId="7E82AFD9" w:rsidR="009F205D" w:rsidRPr="001F003E" w:rsidRDefault="005507F6" w:rsidP="005507F6">
    <w:pPr>
      <w:pStyle w:val="Header"/>
      <w:jc w:val="center"/>
      <w:rPr>
        <w:rFonts w:ascii="Times New Roman" w:hAnsi="Times New Roman" w:cs="Times New Roman"/>
        <w:b/>
        <w:bCs/>
      </w:rPr>
    </w:pPr>
    <w:r w:rsidRPr="001F003E">
      <w:rPr>
        <w:rFonts w:ascii="Times New Roman" w:hAnsi="Times New Roman" w:cs="Times New Roman"/>
        <w:b/>
        <w:bCs/>
      </w:rPr>
      <w:t>MASTER AGREEMENT</w:t>
    </w:r>
    <w:bookmarkEnd w:id="1"/>
    <w:bookmarkEnd w:id="2"/>
  </w:p>
  <w:p w14:paraId="6E573520" w14:textId="77777777" w:rsidR="005507F6" w:rsidRPr="001F003E" w:rsidRDefault="005507F6" w:rsidP="005507F6">
    <w:pPr>
      <w:pStyle w:val="Header"/>
      <w:jc w:val="center"/>
      <w:rPr>
        <w:rFonts w:ascii="Times New Roman" w:hAnsi="Times New Roman" w:cs="Times New Roman"/>
        <w:b/>
        <w:bCs/>
      </w:rPr>
    </w:pPr>
  </w:p>
  <w:p w14:paraId="75645242" w14:textId="1E431500" w:rsidR="005507F6" w:rsidRPr="001F003E" w:rsidRDefault="003C676F" w:rsidP="005507F6">
    <w:pPr>
      <w:pStyle w:val="Header"/>
      <w:jc w:val="center"/>
      <w:rPr>
        <w:rFonts w:ascii="Times New Roman" w:hAnsi="Times New Roman" w:cs="Times New Roman"/>
        <w:b/>
        <w:bCs/>
      </w:rPr>
    </w:pPr>
    <w:r w:rsidRPr="001F003E">
      <w:rPr>
        <w:rFonts w:ascii="Times New Roman" w:hAnsi="Times New Roman" w:cs="Times New Roman"/>
        <w:b/>
        <w:bCs/>
      </w:rPr>
      <w:t>EXHIBIT K</w:t>
    </w:r>
  </w:p>
  <w:p w14:paraId="3A060D1C" w14:textId="07542CF8" w:rsidR="005507F6" w:rsidRPr="001F003E" w:rsidRDefault="003C676F" w:rsidP="005507F6">
    <w:pPr>
      <w:pStyle w:val="Header"/>
      <w:jc w:val="center"/>
      <w:rPr>
        <w:rFonts w:ascii="Times New Roman" w:hAnsi="Times New Roman" w:cs="Times New Roman"/>
        <w:b/>
        <w:bCs/>
      </w:rPr>
    </w:pPr>
    <w:r w:rsidRPr="001F003E">
      <w:rPr>
        <w:rFonts w:ascii="Times New Roman" w:hAnsi="Times New Roman" w:cs="Times New Roman"/>
        <w:b/>
        <w:bCs/>
      </w:rPr>
      <w:t>APPENDIX E - DISCHARGE DISPUTE PROCESS</w:t>
    </w:r>
  </w:p>
  <w:p w14:paraId="5BFC4FC9" w14:textId="2B2DC4DD" w:rsidR="005507F6" w:rsidRPr="001F003E" w:rsidRDefault="003C676F" w:rsidP="005507F6">
    <w:pPr>
      <w:pStyle w:val="Header"/>
      <w:jc w:val="center"/>
      <w:rPr>
        <w:rFonts w:ascii="Times New Roman" w:hAnsi="Times New Roman" w:cs="Times New Roman"/>
      </w:rPr>
    </w:pPr>
    <w:r w:rsidRPr="001F003E">
      <w:rPr>
        <w:rFonts w:ascii="Times New Roman" w:hAnsi="Times New Roman" w:cs="Times New Roman"/>
        <w:highlight w:val="yellow"/>
      </w:rPr>
      <w:t>PC Contract No.</w:t>
    </w:r>
    <w:r w:rsidRPr="001F003E">
      <w:rPr>
        <w:rFonts w:ascii="Times New Roman" w:hAnsi="Times New Roman" w:cs="Times New Roman"/>
      </w:rPr>
      <w:t xml:space="preserve"> </w:t>
    </w:r>
    <w:r w:rsidR="00AD41DE">
      <w:rPr>
        <w:rFonts w:ascii="Times New Roman" w:hAnsi="Times New Roman" w:cs="Times New Roman"/>
      </w:rPr>
      <w:t>P1636.XXX.3</w:t>
    </w:r>
  </w:p>
  <w:p w14:paraId="1AA97E58" w14:textId="77777777" w:rsidR="003C676F" w:rsidRDefault="003C676F" w:rsidP="005507F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FDCE" w14:textId="0DBD622D" w:rsidR="001F003E" w:rsidRDefault="00AD41DE">
    <w:pPr>
      <w:pStyle w:val="Header"/>
    </w:pPr>
    <w:r>
      <w:rPr>
        <w:noProof/>
      </w:rPr>
      <w:pict w14:anchorId="14048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7578" o:spid="_x0000_s1025" type="#_x0000_t136" style="position:absolute;margin-left:0;margin-top:0;width:412.4pt;height:247.45pt;rotation:315;z-index:-251657216;mso-position-horizontal:center;mso-position-horizontal-relative:margin;mso-position-vertical:center;mso-position-vertical-relative:margin" o:allowincell="f" fillcolor="#2f5496 [2404]"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D1588"/>
    <w:multiLevelType w:val="hybridMultilevel"/>
    <w:tmpl w:val="2A2075E6"/>
    <w:lvl w:ilvl="0" w:tplc="75305690">
      <w:start w:val="1"/>
      <w:numFmt w:val="decimal"/>
      <w:lvlText w:val="%1."/>
      <w:lvlJc w:val="left"/>
      <w:pPr>
        <w:ind w:left="460" w:hanging="360"/>
      </w:pPr>
      <w:rPr>
        <w:rFonts w:ascii="Times New Roman" w:eastAsia="Times New Roman" w:hAnsi="Times New Roman" w:cs="Times New Roman"/>
        <w:b w:val="0"/>
        <w:bCs/>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53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BE"/>
    <w:rsid w:val="001F003E"/>
    <w:rsid w:val="00244E61"/>
    <w:rsid w:val="002E17D9"/>
    <w:rsid w:val="003C676F"/>
    <w:rsid w:val="005507F6"/>
    <w:rsid w:val="005B0A86"/>
    <w:rsid w:val="007B1774"/>
    <w:rsid w:val="00842FC6"/>
    <w:rsid w:val="009F0ABE"/>
    <w:rsid w:val="009F205D"/>
    <w:rsid w:val="00A43120"/>
    <w:rsid w:val="00AD41DE"/>
    <w:rsid w:val="00B05F41"/>
    <w:rsid w:val="00BE1C77"/>
    <w:rsid w:val="00D90823"/>
    <w:rsid w:val="00DD7E64"/>
    <w:rsid w:val="00E3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F1793"/>
  <w15:chartTrackingRefBased/>
  <w15:docId w15:val="{17006BC0-6DDE-4473-8C39-BAB2C3D0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F0A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0A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0A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0A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0A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0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0A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0A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0A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0A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0A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0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ABE"/>
    <w:rPr>
      <w:rFonts w:eastAsiaTheme="majorEastAsia" w:cstheme="majorBidi"/>
      <w:color w:val="272727" w:themeColor="text1" w:themeTint="D8"/>
    </w:rPr>
  </w:style>
  <w:style w:type="paragraph" w:styleId="Title">
    <w:name w:val="Title"/>
    <w:basedOn w:val="Normal"/>
    <w:next w:val="Normal"/>
    <w:link w:val="TitleChar"/>
    <w:uiPriority w:val="10"/>
    <w:qFormat/>
    <w:rsid w:val="009F0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ABE"/>
    <w:pPr>
      <w:spacing w:before="160"/>
      <w:jc w:val="center"/>
    </w:pPr>
    <w:rPr>
      <w:i/>
      <w:iCs/>
      <w:color w:val="404040" w:themeColor="text1" w:themeTint="BF"/>
    </w:rPr>
  </w:style>
  <w:style w:type="character" w:customStyle="1" w:styleId="QuoteChar">
    <w:name w:val="Quote Char"/>
    <w:basedOn w:val="DefaultParagraphFont"/>
    <w:link w:val="Quote"/>
    <w:uiPriority w:val="29"/>
    <w:rsid w:val="009F0ABE"/>
    <w:rPr>
      <w:i/>
      <w:iCs/>
      <w:color w:val="404040" w:themeColor="text1" w:themeTint="BF"/>
    </w:rPr>
  </w:style>
  <w:style w:type="paragraph" w:styleId="ListParagraph">
    <w:name w:val="List Paragraph"/>
    <w:basedOn w:val="Normal"/>
    <w:uiPriority w:val="34"/>
    <w:qFormat/>
    <w:rsid w:val="009F0ABE"/>
    <w:pPr>
      <w:ind w:left="720"/>
      <w:contextualSpacing/>
    </w:pPr>
  </w:style>
  <w:style w:type="character" w:styleId="IntenseEmphasis">
    <w:name w:val="Intense Emphasis"/>
    <w:basedOn w:val="DefaultParagraphFont"/>
    <w:uiPriority w:val="21"/>
    <w:qFormat/>
    <w:rsid w:val="009F0ABE"/>
    <w:rPr>
      <w:i/>
      <w:iCs/>
      <w:color w:val="2F5496" w:themeColor="accent1" w:themeShade="BF"/>
    </w:rPr>
  </w:style>
  <w:style w:type="paragraph" w:styleId="IntenseQuote">
    <w:name w:val="Intense Quote"/>
    <w:basedOn w:val="Normal"/>
    <w:next w:val="Normal"/>
    <w:link w:val="IntenseQuoteChar"/>
    <w:uiPriority w:val="30"/>
    <w:qFormat/>
    <w:rsid w:val="009F0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0ABE"/>
    <w:rPr>
      <w:i/>
      <w:iCs/>
      <w:color w:val="2F5496" w:themeColor="accent1" w:themeShade="BF"/>
    </w:rPr>
  </w:style>
  <w:style w:type="character" w:styleId="IntenseReference">
    <w:name w:val="Intense Reference"/>
    <w:basedOn w:val="DefaultParagraphFont"/>
    <w:uiPriority w:val="32"/>
    <w:qFormat/>
    <w:rsid w:val="009F0ABE"/>
    <w:rPr>
      <w:b/>
      <w:bCs/>
      <w:smallCaps/>
      <w:color w:val="2F5496" w:themeColor="accent1" w:themeShade="BF"/>
      <w:spacing w:val="5"/>
    </w:rPr>
  </w:style>
  <w:style w:type="table" w:styleId="TableGrid">
    <w:name w:val="Table Grid"/>
    <w:basedOn w:val="TableNormal"/>
    <w:uiPriority w:val="39"/>
    <w:rsid w:val="009F0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AB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2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05D"/>
  </w:style>
  <w:style w:type="paragraph" w:styleId="Footer">
    <w:name w:val="footer"/>
    <w:basedOn w:val="Normal"/>
    <w:link w:val="FooterChar"/>
    <w:uiPriority w:val="99"/>
    <w:unhideWhenUsed/>
    <w:rsid w:val="009F2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05D"/>
  </w:style>
  <w:style w:type="paragraph" w:styleId="Revision">
    <w:name w:val="Revision"/>
    <w:hidden/>
    <w:uiPriority w:val="99"/>
    <w:semiHidden/>
    <w:rsid w:val="00D90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004DC-3508-4EA1-A760-3CC1C3D8866D}">
  <ds:schemaRefs>
    <ds:schemaRef ds:uri="http://schemas.microsoft.com/sharepoint/v3/contenttype/forms"/>
  </ds:schemaRefs>
</ds:datastoreItem>
</file>

<file path=customXml/itemProps2.xml><?xml version="1.0" encoding="utf-8"?>
<ds:datastoreItem xmlns:ds="http://schemas.openxmlformats.org/officeDocument/2006/customXml" ds:itemID="{A8E7AD2A-111B-4BE7-A512-E13DB56A943F}">
  <ds:schemaRef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http://purl.org/dc/terms/"/>
    <ds:schemaRef ds:uri="4971a81d-b310-4f76-9baa-c3d90dd1b1e6"/>
    <ds:schemaRef ds:uri="http://www.w3.org/XML/1998/namespace"/>
  </ds:schemaRefs>
</ds:datastoreItem>
</file>

<file path=customXml/itemProps3.xml><?xml version="1.0" encoding="utf-8"?>
<ds:datastoreItem xmlns:ds="http://schemas.openxmlformats.org/officeDocument/2006/customXml" ds:itemID="{587DBF8C-F883-4854-8275-BD61181F2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264</Words>
  <Characters>1508</Characters>
  <Application>Microsoft Office Word</Application>
  <DocSecurity>0</DocSecurity>
  <Lines>12</Lines>
  <Paragraphs>3</Paragraphs>
  <ScaleCrop>false</ScaleCrop>
  <Company>VITA</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 Heather (DBHDS)</dc:creator>
  <cp:keywords/>
  <dc:description/>
  <cp:lastModifiedBy>Neal-jones, Chaye (DBHDS)</cp:lastModifiedBy>
  <cp:revision>10</cp:revision>
  <dcterms:created xsi:type="dcterms:W3CDTF">2025-01-17T15:28:00Z</dcterms:created>
  <dcterms:modified xsi:type="dcterms:W3CDTF">2025-06-10T13:56:00Z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y fmtid="{D5CDD505-2E9C-101B-9397-08002B2CF9AE}" pid="3" name="Order">
    <vt:r8>78800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